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4361180</wp:posOffset>
            </wp:positionH>
            <wp:positionV relativeFrom="paragraph">
              <wp:posOffset>-726440</wp:posOffset>
            </wp:positionV>
            <wp:extent cx="1395730" cy="73342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TRINTECO,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5254175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Antala Staška 2027/77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140 00 Praha 4 - Krč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b w:val="false"/>
          <w:bCs w:val="false"/>
          <w:color w:val="auto"/>
          <w:kern w:val="0"/>
          <w:sz w:val="24"/>
          <w:szCs w:val="22"/>
          <w:highlight w:val="white"/>
          <w:lang w:val="cs-CZ" w:eastAsia="en-US" w:bidi="ar-SA"/>
        </w:rPr>
        <w:t>xebex.cz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1990105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LibreOffice/6.4.7.2$Windows_X86_64 LibreOffice_project/639b8ac485750d5696d7590a72ef1b496725cfb5</Application>
  <Pages>1</Pages>
  <Words>158</Words>
  <Characters>824</Characters>
  <CharactersWithSpaces>975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2021-03-30T11:11:49Z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